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b/>
          <w:bCs/>
          <w:color w:val="1F1F1F"/>
          <w:sz w:val="36"/>
          <w:szCs w:val="36"/>
        </w:rPr>
        <w:t xml:space="preserve">Updating Your DNS to Point to CE OneSource</w:t>
      </w:r>
    </w:p>
    <w:p>
      <w:pPr>
        <w:spacing w:after="240"/>
      </w:pPr>
      <w:r>
        <w:rPr>
          <w:color w:val="404040"/>
          <w:sz w:val="24"/>
          <w:szCs w:val="24"/>
        </w:rPr>
        <w:t xml:space="preserve">CNAME Setup and Root (Apex) Domain Redirect</w:t>
      </w:r>
    </w:p>
    <w:p>
      <w:pPr>
        <w:pStyle w:val="Heading1"/>
      </w:pPr>
      <w:r>
        <w:t xml:space="preserve">Overview</w:t>
      </w:r>
    </w:p>
    <w:p>
      <w:pPr>
        <w:spacing w:after="120"/>
      </w:pPr>
      <w:r>
        <w:t xml:space="preserve">Your website is hosted on the CE OneSource platform. To make your domain display the content hosted on CE OneSource, a small change is required at your DNS provider — the company that manages your domain name (for example, GoDaddy, Namecheap, Cloudflare, or your web host).</w:t>
      </w:r>
    </w:p>
    <w:p>
      <w:pPr>
        <w:spacing w:after="120"/>
      </w:pPr>
      <w:r>
        <w:t xml:space="preserve">This document has two parts. </w:t>
      </w:r>
      <w:r>
        <w:rPr>
          <w:b/>
          <w:bCs/>
        </w:rPr>
        <w:t xml:space="preserve">Part 1</w:t>
      </w:r>
      <w:r>
        <w:t xml:space="preserve"> explains how to add a </w:t>
      </w:r>
      <w:r>
        <w:rPr>
          <w:b/>
          <w:bCs/>
        </w:rPr>
        <w:t xml:space="preserve">CNAME record</w:t>
      </w:r>
      <w:r>
        <w:t xml:space="preserve"> so that </w:t>
      </w:r>
      <w:r>
        <w:rPr>
          <w:rFonts w:ascii="Consolas" w:cs="Consolas" w:eastAsia="Consolas" w:hAnsi="Consolas"/>
        </w:rPr>
        <w:t xml:space="preserve">www.yourdomain.com</w:t>
      </w:r>
      <w:r>
        <w:t xml:space="preserve"> points to </w:t>
      </w:r>
      <w:r>
        <w:rPr>
          <w:rFonts w:ascii="Consolas" w:cs="Consolas" w:eastAsia="Consolas" w:hAnsi="Consolas"/>
        </w:rPr>
        <w:t xml:space="preserve">www.ceonesource.com</w:t>
      </w:r>
      <w:r>
        <w:t xml:space="preserve">. </w:t>
      </w:r>
      <w:r>
        <w:rPr>
          <w:b/>
          <w:bCs/>
        </w:rPr>
        <w:t xml:space="preserve">Part 2</w:t>
      </w:r>
      <w:r>
        <w:t xml:space="preserve"> explains how to redirect your bare “root” domain (for example, </w:t>
      </w:r>
      <w:r>
        <w:rPr>
          <w:rFonts w:ascii="Consolas" w:cs="Consolas" w:eastAsia="Consolas" w:hAnsi="Consolas"/>
        </w:rPr>
        <w:t xml:space="preserve">yourdomain.com</w:t>
      </w:r>
      <w:r>
        <w:t xml:space="preserve"> with no </w:t>
      </w:r>
      <w:r>
        <w:rPr>
          <w:rFonts w:ascii="Consolas" w:cs="Consolas" w:eastAsia="Consolas" w:hAnsi="Consolas"/>
        </w:rPr>
        <w:t xml:space="preserve">www</w:t>
      </w:r>
      <w:r>
        <w:t xml:space="preserve">) over to the </w:t>
      </w:r>
      <w:r>
        <w:rPr>
          <w:rFonts w:ascii="Consolas" w:cs="Consolas" w:eastAsia="Consolas" w:hAnsi="Consolas"/>
        </w:rPr>
        <w:t xml:space="preserve">www</w:t>
      </w:r>
      <w:r>
        <w:t xml:space="preserve"> address. Generic steps are given first, followed by GoDaddy-specific steps with illustrative screen examples.</w:t>
      </w:r>
    </w:p>
    <w:p>
      <w:pPr>
        <w:pStyle w:val="Heading1"/>
      </w:pPr>
      <w:r>
        <w:t xml:space="preserve">Part 1 — Add the “www” CNAME Record</w:t>
      </w:r>
    </w:p>
    <w:p>
      <w:pPr>
        <w:pStyle w:val="Heading2"/>
      </w:pPr>
      <w:r>
        <w:t xml:space="preserve">Record Values</w:t>
      </w:r>
    </w:p>
    <w:p>
      <w:pPr>
        <w:spacing w:after="120"/>
      </w:pPr>
      <w:r>
        <w:t xml:space="preserve">Enter the following values when creating the new DNS record. The field labels differ slightly between providers, so common alternate names are shown.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rPr>
          <w:tblHeader/>
        </w:trPr>
        <w:tc>
          <w:tcPr>
            <w:tcW w:type="dxa" w:w="300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b/>
                <w:bCs/>
                <w:color w:val="FFFFFF"/>
              </w:rPr>
              <w:t xml:space="preserve">Field</w:t>
            </w:r>
          </w:p>
        </w:tc>
        <w:tc>
          <w:tcPr>
            <w:tcW w:type="dxa" w:w="636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b/>
                <w:bCs/>
                <w:color w:val="FFFFFF"/>
              </w:rPr>
              <w:t xml:space="preserve">Value</w:t>
            </w:r>
          </w:p>
        </w:tc>
      </w:tr>
      <w:tr>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Type</w:t>
            </w:r>
          </w:p>
        </w:tc>
        <w:tc>
          <w:tcPr>
            <w:tcW w:type="dxa" w:w="6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Consolas" w:cs="Consolas" w:eastAsia="Consolas" w:hAnsi="Consolas"/>
              </w:rPr>
              <w:t xml:space="preserve">CNAME</w:t>
            </w:r>
          </w:p>
        </w:tc>
      </w:tr>
      <w:tr>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Name / Host / Alias</w:t>
            </w:r>
          </w:p>
        </w:tc>
        <w:tc>
          <w:tcPr>
            <w:tcW w:type="dxa" w:w="6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Consolas" w:cs="Consolas" w:eastAsia="Consolas" w:hAnsi="Consolas"/>
              </w:rPr>
              <w:t xml:space="preserve">www</w:t>
            </w:r>
          </w:p>
        </w:tc>
      </w:tr>
      <w:tr>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Value / Points To / Target</w:t>
            </w:r>
          </w:p>
        </w:tc>
        <w:tc>
          <w:tcPr>
            <w:tcW w:type="dxa" w:w="6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Consolas" w:cs="Consolas" w:eastAsia="Consolas" w:hAnsi="Consolas"/>
              </w:rPr>
              <w:t xml:space="preserve">www.ceonesource.com</w:t>
            </w:r>
          </w:p>
        </w:tc>
      </w:tr>
      <w:tr>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TTL</w:t>
            </w:r>
          </w:p>
        </w:tc>
        <w:tc>
          <w:tcPr>
            <w:tcW w:type="dxa" w:w="636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Automatic (or </w:t>
            </w:r>
            <w:r>
              <w:rPr>
                <w:rFonts w:ascii="Consolas" w:cs="Consolas" w:eastAsia="Consolas" w:hAnsi="Consolas"/>
              </w:rPr>
              <w:t xml:space="preserve">3600</w:t>
            </w:r>
            <w:r>
              <w:t xml:space="preserve"> / 1 hour)</w:t>
            </w:r>
          </w:p>
        </w:tc>
      </w:tr>
    </w:tbl>
    <w:p>
      <w:pPr>
        <w:spacing w:before="12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2E75B6" w:sz="18"/>
              <w:bottom w:val="single" w:color="CCCCCC" w:sz="1"/>
              <w:right w:val="single" w:color="CCCCCC" w:sz="1"/>
            </w:tcBorders>
            <w:shd w:fill="EAF1FA" w:val="clear"/>
            <w:tcMar>
              <w:top w:type="dxa" w:w="100"/>
              <w:left w:type="dxa" w:w="160"/>
              <w:bottom w:type="dxa" w:w="100"/>
              <w:right w:type="dxa" w:w="160"/>
            </w:tcMar>
          </w:tcPr>
          <w:p>
            <w:r>
              <w:rPr>
                <w:b/>
                <w:bCs/>
                <w:color w:val="2E75B6"/>
              </w:rPr>
              <w:t xml:space="preserve">Note:  </w:t>
            </w:r>
            <w:r>
              <w:t xml:space="preserve">Some providers automatically add your domain to the host name. If you see </w:t>
            </w:r>
            <w:r>
              <w:rPr>
                <w:rFonts w:ascii="Consolas" w:cs="Consolas" w:eastAsia="Consolas" w:hAnsi="Consolas"/>
              </w:rPr>
              <w:t xml:space="preserve">www.yourdomain.com</w:t>
            </w:r>
            <w:r>
              <w:t xml:space="preserve"> appear after you type </w:t>
            </w:r>
            <w:r>
              <w:rPr>
                <w:rFonts w:ascii="Consolas" w:cs="Consolas" w:eastAsia="Consolas" w:hAnsi="Consolas"/>
              </w:rPr>
              <w:t xml:space="preserve">www</w:t>
            </w:r>
            <w:r>
              <w:t xml:space="preserve">, that is correct — only enter </w:t>
            </w:r>
            <w:r>
              <w:rPr>
                <w:rFonts w:ascii="Consolas" w:cs="Consolas" w:eastAsia="Consolas" w:hAnsi="Consolas"/>
              </w:rPr>
              <w:t xml:space="preserve">www</w:t>
            </w:r>
            <w:r>
              <w:t xml:space="preserve"> in the host field.</w:t>
            </w:r>
          </w:p>
        </w:tc>
      </w:tr>
    </w:tbl>
    <w:p>
      <w:pPr>
        <w:pStyle w:val="Heading2"/>
      </w:pPr>
      <w:r>
        <w:t xml:space="preserve">Generic Step-by-Step Instructions</w:t>
      </w:r>
    </w:p>
    <w:p>
      <w:pPr>
        <w:pStyle w:val="ListParagraph"/>
        <w:numPr>
          <w:ilvl w:val="0"/>
          <w:numId w:val="2"/>
        </w:numPr>
        <w:spacing w:after="100"/>
      </w:pPr>
      <w:r>
        <w:rPr>
          <w:b/>
          <w:bCs/>
        </w:rPr>
        <w:t xml:space="preserve">Sign in to your DNS provider. </w:t>
      </w:r>
      <w:r>
        <w:t xml:space="preserve">Log in to the account where your domain is registered or where its DNS is managed.</w:t>
      </w:r>
    </w:p>
    <w:p>
      <w:pPr>
        <w:pStyle w:val="ListParagraph"/>
        <w:numPr>
          <w:ilvl w:val="0"/>
          <w:numId w:val="2"/>
        </w:numPr>
        <w:spacing w:after="100"/>
      </w:pPr>
      <w:r>
        <w:rPr>
          <w:b/>
          <w:bCs/>
        </w:rPr>
        <w:t xml:space="preserve">Open the DNS management area. </w:t>
      </w:r>
      <w:r>
        <w:t xml:space="preserve">Look for a section labeled “DNS,” “DNS Management,” “DNS Settings,” or “Zone Editor.”</w:t>
      </w:r>
    </w:p>
    <w:p>
      <w:pPr>
        <w:pStyle w:val="ListParagraph"/>
        <w:numPr>
          <w:ilvl w:val="0"/>
          <w:numId w:val="2"/>
        </w:numPr>
        <w:spacing w:after="100"/>
      </w:pPr>
      <w:r>
        <w:rPr>
          <w:b/>
          <w:bCs/>
        </w:rPr>
        <w:t xml:space="preserve">Add a new record. </w:t>
      </w:r>
      <w:r>
        <w:t xml:space="preserve">In the records list, choose “Add,” “Add Record,” or “Add New Record.”</w:t>
      </w:r>
    </w:p>
    <w:p>
      <w:pPr>
        <w:pStyle w:val="ListParagraph"/>
        <w:numPr>
          <w:ilvl w:val="0"/>
          <w:numId w:val="2"/>
        </w:numPr>
        <w:spacing w:after="100"/>
      </w:pPr>
      <w:r>
        <w:rPr>
          <w:b/>
          <w:bCs/>
        </w:rPr>
        <w:t xml:space="preserve">Select the record type. </w:t>
      </w:r>
      <w:r>
        <w:t xml:space="preserve">Choose </w:t>
      </w:r>
      <w:r>
        <w:rPr>
          <w:rFonts w:ascii="Consolas" w:cs="Consolas" w:eastAsia="Consolas" w:hAnsi="Consolas"/>
        </w:rPr>
        <w:t xml:space="preserve">CNAME</w:t>
      </w:r>
      <w:r>
        <w:t xml:space="preserve"> from the type menu.</w:t>
      </w:r>
    </w:p>
    <w:p>
      <w:pPr>
        <w:pStyle w:val="ListParagraph"/>
        <w:numPr>
          <w:ilvl w:val="0"/>
          <w:numId w:val="2"/>
        </w:numPr>
        <w:spacing w:after="100"/>
      </w:pPr>
      <w:r>
        <w:rPr>
          <w:b/>
          <w:bCs/>
        </w:rPr>
        <w:t xml:space="preserve">Enter the host name. </w:t>
      </w:r>
      <w:r>
        <w:t xml:space="preserve">In the “Name,” “Host,” or “Alias” field, type </w:t>
      </w:r>
      <w:r>
        <w:rPr>
          <w:rFonts w:ascii="Consolas" w:cs="Consolas" w:eastAsia="Consolas" w:hAnsi="Consolas"/>
        </w:rPr>
        <w:t xml:space="preserve">www</w:t>
      </w:r>
      <w:r>
        <w:t xml:space="preserve">.</w:t>
      </w:r>
    </w:p>
    <w:p>
      <w:pPr>
        <w:pStyle w:val="ListParagraph"/>
        <w:numPr>
          <w:ilvl w:val="0"/>
          <w:numId w:val="2"/>
        </w:numPr>
        <w:spacing w:after="100"/>
      </w:pPr>
      <w:r>
        <w:rPr>
          <w:b/>
          <w:bCs/>
        </w:rPr>
        <w:t xml:space="preserve">Enter the destination. </w:t>
      </w:r>
      <w:r>
        <w:t xml:space="preserve">In the “Value,” “Points To,” or “Target” field, type </w:t>
      </w:r>
      <w:r>
        <w:rPr>
          <w:rFonts w:ascii="Consolas" w:cs="Consolas" w:eastAsia="Consolas" w:hAnsi="Consolas"/>
        </w:rPr>
        <w:t xml:space="preserve">www.ceonesource.com</w:t>
      </w:r>
      <w:r>
        <w:t xml:space="preserve">.</w:t>
      </w:r>
    </w:p>
    <w:p>
      <w:pPr>
        <w:pStyle w:val="ListParagraph"/>
        <w:numPr>
          <w:ilvl w:val="0"/>
          <w:numId w:val="2"/>
        </w:numPr>
        <w:spacing w:after="100"/>
      </w:pPr>
      <w:r>
        <w:rPr>
          <w:b/>
          <w:bCs/>
        </w:rPr>
        <w:t xml:space="preserve">Set the TTL (if shown). </w:t>
      </w:r>
      <w:r>
        <w:t xml:space="preserve">Leave it on the default or “Automatic.”</w:t>
      </w:r>
    </w:p>
    <w:p>
      <w:pPr>
        <w:pStyle w:val="ListParagraph"/>
        <w:numPr>
          <w:ilvl w:val="0"/>
          <w:numId w:val="2"/>
        </w:numPr>
        <w:spacing w:after="100"/>
      </w:pPr>
      <w:r>
        <w:rPr>
          <w:b/>
          <w:bCs/>
        </w:rPr>
        <w:t xml:space="preserve">Save the record. </w:t>
      </w:r>
      <w:r>
        <w:t xml:space="preserve">Click “Save,” “Add,” or “Confirm.”</w:t>
      </w:r>
    </w:p>
    <w:p>
      <w:pPr>
        <w:pStyle w:val="Heading2"/>
      </w:pPr>
      <w:r>
        <w:t xml:space="preserve">GoDaddy-Specific Instructions (if you use GoDaddy)</w:t>
      </w:r>
    </w:p>
    <w:p>
      <w:pPr>
        <w:spacing w:after="120"/>
      </w:pPr>
      <w:r>
        <w:t xml:space="preserve">If your domain is managed at GoDaddy, follow these steps. The screens below are </w:t>
      </w:r>
      <w:r>
        <w:rPr>
          <w:b/>
          <w:bCs/>
        </w:rPr>
        <w:t xml:space="preserve">illustrative examples</w:t>
      </w:r>
      <w:r>
        <w:t xml:space="preserve"> — GoDaddy updates its interface periodically, so your screen may look slightly different, but the field names and values are the same.</w:t>
      </w:r>
    </w:p>
    <w:p>
      <w:pPr>
        <w:pStyle w:val="ListParagraph"/>
        <w:numPr>
          <w:ilvl w:val="0"/>
          <w:numId w:val="3"/>
        </w:numPr>
        <w:spacing w:after="100"/>
      </w:pPr>
      <w:r>
        <w:rPr>
          <w:b/>
          <w:bCs/>
        </w:rPr>
        <w:t xml:space="preserve">Sign in</w:t>
      </w:r>
      <w:r>
        <w:t xml:space="preserve"> to your GoDaddy account at godaddy.com.</w:t>
      </w:r>
    </w:p>
    <w:p>
      <w:pPr>
        <w:pStyle w:val="ListParagraph"/>
        <w:numPr>
          <w:ilvl w:val="0"/>
          <w:numId w:val="3"/>
        </w:numPr>
        <w:spacing w:after="100"/>
      </w:pPr>
      <w:r>
        <w:t xml:space="preserve">Open the </w:t>
      </w:r>
      <w:r>
        <w:rPr>
          <w:b/>
          <w:bCs/>
        </w:rPr>
        <w:t xml:space="preserve">Domain Portfolio</w:t>
      </w:r>
      <w:r>
        <w:t xml:space="preserve"> (also called “My Products”) and select your domain to open its </w:t>
      </w:r>
      <w:r>
        <w:rPr>
          <w:b/>
          <w:bCs/>
        </w:rPr>
        <w:t xml:space="preserve">Domain Settings</w:t>
      </w:r>
      <w:r>
        <w:t xml:space="preserve"> page.</w:t>
      </w:r>
    </w:p>
    <w:p>
      <w:pPr>
        <w:pStyle w:val="ListParagraph"/>
        <w:numPr>
          <w:ilvl w:val="0"/>
          <w:numId w:val="3"/>
        </w:numPr>
        <w:spacing w:after="100"/>
      </w:pPr>
      <w:r>
        <w:t xml:space="preserve">Select </w:t>
      </w:r>
      <w:r>
        <w:rPr>
          <w:b/>
          <w:bCs/>
        </w:rPr>
        <w:t xml:space="preserve">DNS</w:t>
      </w:r>
      <w:r>
        <w:t xml:space="preserve"> (or </w:t>
      </w:r>
      <w:r>
        <w:rPr>
          <w:b/>
          <w:bCs/>
        </w:rPr>
        <w:t xml:space="preserve">Manage DNS</w:t>
      </w:r>
      <w:r>
        <w:t xml:space="preserve">) to view your DNS records.</w:t>
      </w:r>
    </w:p>
    <w:p>
      <w:pPr>
        <w:pStyle w:val="ListParagraph"/>
        <w:numPr>
          <w:ilvl w:val="0"/>
          <w:numId w:val="3"/>
        </w:numPr>
        <w:spacing w:after="100"/>
      </w:pPr>
      <w:r>
        <w:t xml:space="preserve">Select </w:t>
      </w:r>
      <w:r>
        <w:rPr>
          <w:b/>
          <w:bCs/>
        </w:rPr>
        <w:t xml:space="preserve">Add New Record</w:t>
      </w:r>
      <w:r>
        <w:t xml:space="preserve">.</w:t>
      </w:r>
    </w:p>
    <w:p>
      <w:pPr>
        <w:pStyle w:val="ListParagraph"/>
        <w:numPr>
          <w:ilvl w:val="0"/>
          <w:numId w:val="3"/>
        </w:numPr>
        <w:spacing w:after="100"/>
      </w:pPr>
      <w:r>
        <w:t xml:space="preserve">For </w:t>
      </w:r>
      <w:r>
        <w:rPr>
          <w:b/>
          <w:bCs/>
        </w:rPr>
        <w:t xml:space="preserve">Type</w:t>
      </w:r>
      <w:r>
        <w:t xml:space="preserve">, choose </w:t>
      </w:r>
      <w:r>
        <w:rPr>
          <w:rFonts w:ascii="Consolas" w:cs="Consolas" w:eastAsia="Consolas" w:hAnsi="Consolas"/>
        </w:rPr>
        <w:t xml:space="preserve">CNAME</w:t>
      </w:r>
      <w:r>
        <w:t xml:space="preserve">.</w:t>
      </w:r>
    </w:p>
    <w:p>
      <w:pPr>
        <w:pStyle w:val="ListParagraph"/>
        <w:numPr>
          <w:ilvl w:val="0"/>
          <w:numId w:val="3"/>
        </w:numPr>
        <w:spacing w:after="100"/>
      </w:pPr>
      <w:r>
        <w:t xml:space="preserve">In the </w:t>
      </w:r>
      <w:r>
        <w:rPr>
          <w:b/>
          <w:bCs/>
        </w:rPr>
        <w:t xml:space="preserve">Name</w:t>
      </w:r>
      <w:r>
        <w:t xml:space="preserve"> field, enter </w:t>
      </w:r>
      <w:r>
        <w:rPr>
          <w:rFonts w:ascii="Consolas" w:cs="Consolas" w:eastAsia="Consolas" w:hAnsi="Consolas"/>
        </w:rPr>
        <w:t xml:space="preserve">www</w:t>
      </w:r>
      <w:r>
        <w:t xml:space="preserve">.</w:t>
      </w:r>
    </w:p>
    <w:p>
      <w:pPr>
        <w:pStyle w:val="ListParagraph"/>
        <w:numPr>
          <w:ilvl w:val="0"/>
          <w:numId w:val="3"/>
        </w:numPr>
        <w:spacing w:after="100"/>
      </w:pPr>
      <w:r>
        <w:t xml:space="preserve">In the </w:t>
      </w:r>
      <w:r>
        <w:rPr>
          <w:b/>
          <w:bCs/>
        </w:rPr>
        <w:t xml:space="preserve">Value</w:t>
      </w:r>
      <w:r>
        <w:t xml:space="preserve"> field, enter </w:t>
      </w:r>
      <w:r>
        <w:rPr>
          <w:rFonts w:ascii="Consolas" w:cs="Consolas" w:eastAsia="Consolas" w:hAnsi="Consolas"/>
        </w:rPr>
        <w:t xml:space="preserve">www.ceonesource.com</w:t>
      </w:r>
      <w:r>
        <w:t xml:space="preserve">.</w:t>
      </w:r>
    </w:p>
    <w:p>
      <w:pPr>
        <w:pStyle w:val="ListParagraph"/>
        <w:numPr>
          <w:ilvl w:val="0"/>
          <w:numId w:val="3"/>
        </w:numPr>
        <w:spacing w:after="100"/>
      </w:pPr>
      <w:r>
        <w:t xml:space="preserve">Leave </w:t>
      </w:r>
      <w:r>
        <w:rPr>
          <w:b/>
          <w:bCs/>
        </w:rPr>
        <w:t xml:space="preserve">TTL</w:t>
      </w:r>
      <w:r>
        <w:t xml:space="preserve"> set to </w:t>
      </w:r>
      <w:r>
        <w:rPr>
          <w:rFonts w:ascii="Consolas" w:cs="Consolas" w:eastAsia="Consolas" w:hAnsi="Consolas"/>
        </w:rPr>
        <w:t xml:space="preserve">1 Hour</w:t>
      </w:r>
      <w:r>
        <w:t xml:space="preserve">.</w:t>
      </w:r>
    </w:p>
    <w:p>
      <w:pPr>
        <w:pStyle w:val="ListParagraph"/>
        <w:numPr>
          <w:ilvl w:val="0"/>
          <w:numId w:val="3"/>
        </w:numPr>
        <w:spacing w:after="100"/>
      </w:pPr>
      <w:r>
        <w:t xml:space="preserve">Select </w:t>
      </w:r>
      <w:r>
        <w:rPr>
          <w:b/>
          <w:bCs/>
        </w:rPr>
        <w:t xml:space="preserve">Save</w:t>
      </w:r>
      <w:r>
        <w:t xml:space="preserve">.</w:t>
      </w:r>
    </w:p>
    <w:p>
      <w:pPr>
        <w:spacing w:after="60" w:before="120"/>
        <w:jc w:val="center"/>
      </w:pPr>
      <w:r>
        <w:drawing>
          <wp:inline distT="0" distB="0" distL="0" distR="0">
            <wp:extent cx="5715000" cy="23812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5715000" cy="2381250"/>
                    </a:xfrm>
                    <a:prstGeom prst="rect">
                      <a:avLst/>
                    </a:prstGeom>
                  </pic:spPr>
                </pic:pic>
              </a:graphicData>
            </a:graphic>
          </wp:inline>
        </w:drawing>
      </w:r>
    </w:p>
    <w:p>
      <w:pPr>
        <w:spacing w:after="160"/>
        <w:jc w:val="center"/>
      </w:pPr>
      <w:r>
        <w:rPr>
          <w:i/>
          <w:iCs/>
          <w:color w:val="808080"/>
          <w:sz w:val="17"/>
          <w:szCs w:val="17"/>
        </w:rPr>
        <w:t xml:space="preserve">Illustrative example: adding the www CNAME record. Your GoDaddy screen may differ.</w:t>
      </w:r>
    </w:p>
    <w:p>
      <w:pPr>
        <w:spacing w:after="120"/>
      </w:pPr>
      <w:r>
        <w:t xml:space="preserve">After saving, confirm the new record appears in your records list:</w:t>
      </w:r>
    </w:p>
    <w:p>
      <w:pPr>
        <w:spacing w:after="60" w:before="120"/>
        <w:jc w:val="center"/>
      </w:pPr>
      <w:r>
        <w:drawing>
          <wp:inline distT="0" distB="0" distL="0" distR="0">
            <wp:extent cx="5715000" cy="19812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5715000" cy="1981200"/>
                    </a:xfrm>
                    <a:prstGeom prst="rect">
                      <a:avLst/>
                    </a:prstGeom>
                  </pic:spPr>
                </pic:pic>
              </a:graphicData>
            </a:graphic>
          </wp:inline>
        </w:drawing>
      </w:r>
    </w:p>
    <w:p>
      <w:pPr>
        <w:spacing w:after="160"/>
        <w:jc w:val="center"/>
      </w:pPr>
      <w:r>
        <w:rPr>
          <w:i/>
          <w:iCs/>
          <w:color w:val="808080"/>
          <w:sz w:val="17"/>
          <w:szCs w:val="17"/>
        </w:rPr>
        <w:t xml:space="preserve">Illustrative example: the saved www CNAME shown in the DNS records list.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2E75B6" w:sz="18"/>
              <w:bottom w:val="single" w:color="CCCCCC" w:sz="1"/>
              <w:right w:val="single" w:color="CCCCCC" w:sz="1"/>
            </w:tcBorders>
            <w:shd w:fill="EAF1FA" w:val="clear"/>
            <w:tcMar>
              <w:top w:type="dxa" w:w="100"/>
              <w:left w:type="dxa" w:w="160"/>
              <w:bottom w:type="dxa" w:w="100"/>
              <w:right w:type="dxa" w:w="160"/>
            </w:tcMar>
          </w:tcPr>
          <w:p>
            <w:r>
              <w:rPr>
                <w:b/>
                <w:bCs/>
                <w:color w:val="2E75B6"/>
              </w:rPr>
              <w:t xml:space="preserve">GoDaddy tip:  </w:t>
            </w:r>
            <w:r>
              <w:t xml:space="preserve">GoDaddy may automatically append your domain to values you enter. For the </w:t>
            </w:r>
            <w:r>
              <w:rPr>
                <w:rFonts w:ascii="Consolas" w:cs="Consolas" w:eastAsia="Consolas" w:hAnsi="Consolas"/>
              </w:rPr>
              <w:t xml:space="preserve">www</w:t>
            </w:r>
            <w:r>
              <w:t xml:space="preserve"> record, enter only </w:t>
            </w:r>
            <w:r>
              <w:rPr>
                <w:rFonts w:ascii="Consolas" w:cs="Consolas" w:eastAsia="Consolas" w:hAnsi="Consolas"/>
              </w:rPr>
              <w:t xml:space="preserve">www</w:t>
            </w:r>
            <w:r>
              <w:t xml:space="preserve"> in the Name field — do not type the full </w:t>
            </w:r>
            <w:r>
              <w:rPr>
                <w:rFonts w:ascii="Consolas" w:cs="Consolas" w:eastAsia="Consolas" w:hAnsi="Consolas"/>
              </w:rPr>
              <w:t xml:space="preserve">www.yourdomain.com</w:t>
            </w:r>
            <w:r>
              <w:t xml:space="preserve">.</w:t>
            </w:r>
          </w:p>
        </w:tc>
      </w:tr>
    </w:tbl>
    <w:p>
      <w:pPr>
        <w:pStyle w:val="Heading2"/>
      </w:pPr>
      <w:r>
        <w:t xml:space="preserve">Verifying the CNAME</w:t>
      </w:r>
    </w:p>
    <w:p>
      <w:pPr>
        <w:spacing w:after="120"/>
      </w:pPr>
      <w:r>
        <w:t xml:space="preserve">DNS changes usually take effect within an hour but can take up to 24–48 hours to update everywhere (“propagation”). To confirm:</w:t>
      </w:r>
    </w:p>
    <w:p>
      <w:pPr>
        <w:pStyle w:val="ListParagraph"/>
        <w:numPr>
          <w:ilvl w:val="0"/>
          <w:numId w:val="4"/>
        </w:numPr>
        <w:spacing w:after="80"/>
      </w:pPr>
      <w:r>
        <w:t xml:space="preserve">Wait at least 15–30 minutes after saving.</w:t>
      </w:r>
    </w:p>
    <w:p>
      <w:pPr>
        <w:pStyle w:val="ListParagraph"/>
        <w:numPr>
          <w:ilvl w:val="0"/>
          <w:numId w:val="4"/>
        </w:numPr>
        <w:spacing w:after="80"/>
      </w:pPr>
      <w:r>
        <w:t xml:space="preserve">Visit </w:t>
      </w:r>
      <w:r>
        <w:rPr>
          <w:rFonts w:ascii="Consolas" w:cs="Consolas" w:eastAsia="Consolas" w:hAnsi="Consolas"/>
        </w:rPr>
        <w:t xml:space="preserve">www.yourdomain.com</w:t>
      </w:r>
      <w:r>
        <w:t xml:space="preserve"> in a browser to confirm it loads your CE OneSource site.</w:t>
      </w:r>
    </w:p>
    <w:p>
      <w:pPr>
        <w:pStyle w:val="ListParagraph"/>
        <w:numPr>
          <w:ilvl w:val="0"/>
          <w:numId w:val="4"/>
        </w:numPr>
        <w:spacing w:after="80"/>
      </w:pPr>
      <w:r>
        <w:t xml:space="preserve">Optionally, use a free “CNAME lookup” or “DNS checker” tool to confirm </w:t>
      </w:r>
      <w:r>
        <w:rPr>
          <w:rFonts w:ascii="Consolas" w:cs="Consolas" w:eastAsia="Consolas" w:hAnsi="Consolas"/>
        </w:rPr>
        <w:t xml:space="preserve">www</w:t>
      </w:r>
      <w:r>
        <w:t xml:space="preserve"> resolves to </w:t>
      </w:r>
      <w:r>
        <w:rPr>
          <w:rFonts w:ascii="Consolas" w:cs="Consolas" w:eastAsia="Consolas" w:hAnsi="Consolas"/>
        </w:rPr>
        <w:t xml:space="preserve">www.ceonesource.com</w:t>
      </w:r>
      <w:r>
        <w:t xml:space="preserve">.</w:t>
      </w:r>
    </w:p>
    <w:p>
      <w:r>
        <w:br w:type="page"/>
      </w:r>
    </w:p>
    <w:p>
      <w:pPr>
        <w:pStyle w:val="Heading1"/>
      </w:pPr>
      <w:r>
        <w:t xml:space="preserve">Part 2 — Redirect the Root (Apex) Domain to www</w:t>
      </w:r>
    </w:p>
    <w:p>
      <w:pPr>
        <w:spacing w:after="120"/>
      </w:pPr>
      <w:r>
        <w:t xml:space="preserve">The </w:t>
      </w:r>
      <w:r>
        <w:rPr>
          <w:b/>
          <w:bCs/>
        </w:rPr>
        <w:t xml:space="preserve">root</w:t>
      </w:r>
      <w:r>
        <w:t xml:space="preserve"> or </w:t>
      </w:r>
      <w:r>
        <w:rPr>
          <w:b/>
          <w:bCs/>
        </w:rPr>
        <w:t xml:space="preserve">apex</w:t>
      </w:r>
      <w:r>
        <w:t xml:space="preserve"> domain is your bare domain with no prefix — for example </w:t>
      </w:r>
      <w:r>
        <w:rPr>
          <w:rFonts w:ascii="Consolas" w:cs="Consolas" w:eastAsia="Consolas" w:hAnsi="Consolas"/>
        </w:rPr>
        <w:t xml:space="preserve">yourdomain.com</w:t>
      </w:r>
      <w:r>
        <w:t xml:space="preserve"> instead of </w:t>
      </w:r>
      <w:r>
        <w:rPr>
          <w:rFonts w:ascii="Consolas" w:cs="Consolas" w:eastAsia="Consolas" w:hAnsi="Consolas"/>
        </w:rPr>
        <w:t xml:space="preserve">www.yourdomain.com</w:t>
      </w:r>
      <w:r>
        <w:t xml:space="preserve">. You will usually want visitors who type the bare domain to land on the </w:t>
      </w:r>
      <w:r>
        <w:rPr>
          <w:rFonts w:ascii="Consolas" w:cs="Consolas" w:eastAsia="Consolas" w:hAnsi="Consolas"/>
        </w:rPr>
        <w:t xml:space="preserve">www</w:t>
      </w:r>
      <w:r>
        <w:t xml:space="preserve"> version that you set up in Part 1.</w:t>
      </w:r>
    </w:p>
    <w:p>
      <w:pPr>
        <w:spacing w:after="120"/>
      </w:pPr>
      <w:r>
        <w:rPr>
          <w:b/>
          <w:bCs/>
        </w:rPr>
        <w:t xml:space="preserve">Why the apex needs special handling: </w:t>
      </w:r>
      <w:r>
        <w:t xml:space="preserve">The DNS standard does not allow a CNAME record on the apex when other records (such as MX for email) also exist there — and they almost always do. So you cannot simply point </w:t>
      </w:r>
      <w:r>
        <w:rPr>
          <w:rFonts w:ascii="Consolas" w:cs="Consolas" w:eastAsia="Consolas" w:hAnsi="Consolas"/>
        </w:rPr>
        <w:t xml:space="preserve">@</w:t>
      </w:r>
      <w:r>
        <w:t xml:space="preserve"> to </w:t>
      </w:r>
      <w:r>
        <w:rPr>
          <w:rFonts w:ascii="Consolas" w:cs="Consolas" w:eastAsia="Consolas" w:hAnsi="Consolas"/>
        </w:rPr>
        <w:t xml:space="preserve">www.ceonesource.com</w:t>
      </w:r>
      <w:r>
        <w:t xml:space="preserve"> with a CNAME. There are two supported ways to handle this:</w:t>
      </w:r>
    </w:p>
    <w:p>
      <w:pPr>
        <w:pStyle w:val="Heading2"/>
      </w:pPr>
      <w:r>
        <w:t xml:space="preserve">The Two Methods at a Glance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3480"/>
        <w:gridCol w:w="3480"/>
      </w:tblGrid>
      <w:tr>
        <w:trPr>
          <w:tblHeader/>
        </w:trPr>
        <w:tc>
          <w:tcPr>
            <w:tcW w:type="dxa" w:w="240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b/>
                <w:bCs/>
                <w:color w:val="FFFFFF"/>
              </w:rPr>
              <w:t xml:space="preserve">Method</w:t>
            </w:r>
          </w:p>
        </w:tc>
        <w:tc>
          <w:tcPr>
            <w:tcW w:type="dxa" w:w="348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b/>
                <w:bCs/>
                <w:color w:val="FFFFFF"/>
              </w:rPr>
              <w:t xml:space="preserve">What it does</w:t>
            </w:r>
          </w:p>
        </w:tc>
        <w:tc>
          <w:tcPr>
            <w:tcW w:type="dxa" w:w="348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b/>
                <w:bCs/>
                <w:color w:val="FFFFFF"/>
              </w:rPr>
              <w:t xml:space="preserve">Use when</w:t>
            </w:r>
          </w:p>
        </w:tc>
      </w:tr>
      <w:tr>
        <w:tc>
          <w:tcPr>
            <w:tcW w:type="dxa" w:w="2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b/>
                <w:bCs/>
              </w:rPr>
              <w:t xml:space="preserve">HTTP/HTTPS redirect</w:t>
            </w:r>
            <w:r>
              <w:t xml:space="preserve"> (“forwarding,” 301)</w:t>
            </w:r>
          </w:p>
        </w:tc>
        <w:tc>
          <w:tcPr>
            <w:tcW w:type="dxa" w:w="348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Sends the bare domain to </w:t>
            </w:r>
            <w:r>
              <w:rPr>
                <w:rFonts w:ascii="Consolas" w:cs="Consolas" w:eastAsia="Consolas" w:hAnsi="Consolas"/>
              </w:rPr>
              <w:t xml:space="preserve">www</w:t>
            </w:r>
            <w:r>
              <w:t xml:space="preserve">; the address bar changes to the </w:t>
            </w:r>
            <w:r>
              <w:rPr>
                <w:rFonts w:ascii="Consolas" w:cs="Consolas" w:eastAsia="Consolas" w:hAnsi="Consolas"/>
              </w:rPr>
              <w:t xml:space="preserve">www</w:t>
            </w:r>
            <w:r>
              <w:t xml:space="preserve"> URL.</w:t>
            </w:r>
          </w:p>
        </w:tc>
        <w:tc>
          <w:tcPr>
            <w:tcW w:type="dxa" w:w="348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Your provider offers domain forwarding </w:t>
            </w:r>
            <w:r>
              <w:rPr>
                <w:b/>
                <w:bCs/>
              </w:rPr>
              <w:t xml:space="preserve">with HTTPS</w:t>
            </w:r>
            <w:r>
              <w:t xml:space="preserve">. Makes </w:t>
            </w:r>
            <w:r>
              <w:rPr>
                <w:rFonts w:ascii="Consolas" w:cs="Consolas" w:eastAsia="Consolas" w:hAnsi="Consolas"/>
              </w:rPr>
              <w:t xml:space="preserve">www</w:t>
            </w:r>
            <w:r>
              <w:t xml:space="preserve"> the single canonical address.</w:t>
            </w:r>
          </w:p>
        </w:tc>
      </w:tr>
      <w:tr>
        <w:tc>
          <w:tcPr>
            <w:tcW w:type="dxa" w:w="2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b/>
                <w:bCs/>
              </w:rPr>
              <w:t xml:space="preserve">ALIAS / ANAME</w:t>
            </w:r>
            <w:r>
              <w:t xml:space="preserve"> (or CNAME flattening)</w:t>
            </w:r>
          </w:p>
        </w:tc>
        <w:tc>
          <w:tcPr>
            <w:tcW w:type="dxa" w:w="348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Lets the apex resolve directly to a hostname. The address bar </w:t>
            </w:r>
            <w:r>
              <w:rPr>
                <w:b/>
                <w:bCs/>
              </w:rPr>
              <w:t xml:space="preserve">stays</w:t>
            </w:r>
            <w:r>
              <w:t xml:space="preserve"> on the bare domain (no redirect).</w:t>
            </w:r>
          </w:p>
        </w:tc>
        <w:tc>
          <w:tcPr>
            <w:tcW w:type="dxa" w:w="3480"/>
            <w:tcBorders>
              <w:top w:val="single" w:color="CCCCCC" w:sz="1"/>
              <w:left w:val="single" w:color="CCCCCC" w:sz="1"/>
              <w:bottom w:val="single" w:color="CCCCCC" w:sz="1"/>
              <w:right w:val="single" w:color="CCCCCC" w:sz="1"/>
            </w:tcBorders>
            <w:tcMar>
              <w:top w:type="dxa" w:w="80"/>
              <w:left w:type="dxa" w:w="120"/>
              <w:bottom w:type="dxa" w:w="80"/>
              <w:right w:type="dxa" w:w="120"/>
            </w:tcMar>
          </w:tcPr>
          <w:p>
            <w:r>
              <w:t xml:space="preserve">You use a modern DNS provider that supports apex aliasing (e.g. Cloudflare, Route 53, DNSimple, Namecheap).</w:t>
            </w:r>
          </w:p>
        </w:tc>
      </w:tr>
    </w:tbl>
    <w:p>
      <w:pPr>
        <w:spacing w:before="12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2E75B6" w:sz="18"/>
              <w:bottom w:val="single" w:color="CCCCCC" w:sz="1"/>
              <w:right w:val="single" w:color="CCCCCC" w:sz="1"/>
            </w:tcBorders>
            <w:shd w:fill="EAF1FA" w:val="clear"/>
            <w:tcMar>
              <w:top w:type="dxa" w:w="100"/>
              <w:left w:type="dxa" w:w="160"/>
              <w:bottom w:type="dxa" w:w="100"/>
              <w:right w:type="dxa" w:w="160"/>
            </w:tcMar>
          </w:tcPr>
          <w:p>
            <w:r>
              <w:rPr>
                <w:b/>
                <w:bCs/>
                <w:color w:val="2E75B6"/>
              </w:rPr>
              <w:t xml:space="preserve">Important distinction:  </w:t>
            </w:r>
            <w:r>
              <w:t xml:space="preserve">A </w:t>
            </w:r>
            <w:r>
              <w:rPr>
                <w:b/>
                <w:bCs/>
              </w:rPr>
              <w:t xml:space="preserve">redirect</w:t>
            </w:r>
            <w:r>
              <w:t xml:space="preserve"> changes the visitor’s address bar to </w:t>
            </w:r>
            <w:r>
              <w:rPr>
                <w:rFonts w:ascii="Consolas" w:cs="Consolas" w:eastAsia="Consolas" w:hAnsi="Consolas"/>
              </w:rPr>
              <w:t xml:space="preserve">www</w:t>
            </w:r>
            <w:r>
              <w:t xml:space="preserve">. An </w:t>
            </w:r>
            <w:r>
              <w:rPr>
                <w:b/>
                <w:bCs/>
              </w:rPr>
              <w:t xml:space="preserve">ALIAS/ANAME</w:t>
            </w:r>
            <w:r>
              <w:t xml:space="preserve"> record does </w:t>
            </w:r>
            <w:r>
              <w:rPr>
                <w:b/>
                <w:bCs/>
              </w:rPr>
              <w:t xml:space="preserve">not</w:t>
            </w:r>
            <w:r>
              <w:t xml:space="preserve"> redirect — it just makes the bare domain resolve to the target. If your goal is for everyone to end up on </w:t>
            </w:r>
            <w:r>
              <w:rPr>
                <w:rFonts w:ascii="Consolas" w:cs="Consolas" w:eastAsia="Consolas" w:hAnsi="Consolas"/>
              </w:rPr>
              <w:t xml:space="preserve">www</w:t>
            </w:r>
            <w:r>
              <w:t xml:space="preserve">, the redirect method is the most direct. ALIAS/ANAME is the right choice if your provider supports it and you prefer the apex to serve the site without a visible redirect.</w:t>
            </w:r>
          </w:p>
        </w:tc>
      </w:tr>
    </w:tbl>
    <w:p>
      <w:pPr>
        <w:pStyle w:val="Heading2"/>
      </w:pPr>
      <w:r>
        <w:t xml:space="preserve">Method A — HTTP/HTTPS Redirect (Generic)</w:t>
      </w:r>
    </w:p>
    <w:p>
      <w:pPr>
        <w:spacing w:after="120"/>
      </w:pPr>
      <w:r>
        <w:t xml:space="preserve">Most registrars call this </w:t>
      </w:r>
      <w:r>
        <w:rPr>
          <w:b/>
          <w:bCs/>
        </w:rPr>
        <w:t xml:space="preserve">“domain forwarding.”</w:t>
      </w:r>
      <w:r>
        <w:t xml:space="preserve"> Configure it as follows:</w:t>
      </w:r>
    </w:p>
    <w:p>
      <w:pPr>
        <w:pStyle w:val="ListParagraph"/>
        <w:numPr>
          <w:ilvl w:val="0"/>
          <w:numId w:val="4"/>
        </w:numPr>
        <w:spacing w:after="80"/>
      </w:pPr>
      <w:r>
        <w:rPr>
          <w:b/>
          <w:bCs/>
        </w:rPr>
        <w:t xml:space="preserve">Forward from: </w:t>
      </w:r>
      <w:r>
        <w:t xml:space="preserve">your bare domain, </w:t>
      </w:r>
      <w:r>
        <w:rPr>
          <w:rFonts w:ascii="Consolas" w:cs="Consolas" w:eastAsia="Consolas" w:hAnsi="Consolas"/>
        </w:rPr>
        <w:t xml:space="preserve">yourdomain.com</w:t>
      </w:r>
      <w:r>
        <w:t xml:space="preserve">.</w:t>
      </w:r>
    </w:p>
    <w:p>
      <w:pPr>
        <w:pStyle w:val="ListParagraph"/>
        <w:numPr>
          <w:ilvl w:val="0"/>
          <w:numId w:val="4"/>
        </w:numPr>
        <w:spacing w:after="80"/>
      </w:pPr>
      <w:r>
        <w:rPr>
          <w:b/>
          <w:bCs/>
        </w:rPr>
        <w:t xml:space="preserve">Forward to: </w:t>
      </w:r>
      <w:r>
        <w:rPr>
          <w:rFonts w:ascii="Consolas" w:cs="Consolas" w:eastAsia="Consolas" w:hAnsi="Consolas"/>
        </w:rPr>
        <w:t xml:space="preserve">https://www.yourdomain.com</w:t>
      </w:r>
      <w:r>
        <w:t xml:space="preserve">.</w:t>
      </w:r>
    </w:p>
    <w:p>
      <w:pPr>
        <w:pStyle w:val="ListParagraph"/>
        <w:numPr>
          <w:ilvl w:val="0"/>
          <w:numId w:val="4"/>
        </w:numPr>
        <w:spacing w:after="80"/>
      </w:pPr>
      <w:r>
        <w:rPr>
          <w:b/>
          <w:bCs/>
        </w:rPr>
        <w:t xml:space="preserve">Type: </w:t>
      </w:r>
      <w:r>
        <w:t xml:space="preserve">Permanent (</w:t>
      </w:r>
      <w:r>
        <w:rPr>
          <w:rFonts w:ascii="Consolas" w:cs="Consolas" w:eastAsia="Consolas" w:hAnsi="Consolas"/>
        </w:rPr>
        <w:t xml:space="preserve">301</w:t>
      </w:r>
      <w:r>
        <w:t xml:space="preserve">) — best for search-engine consolidation.</w:t>
      </w:r>
    </w:p>
    <w:p>
      <w:pPr>
        <w:pStyle w:val="ListParagraph"/>
        <w:numPr>
          <w:ilvl w:val="0"/>
          <w:numId w:val="4"/>
        </w:numPr>
        <w:spacing w:after="80"/>
      </w:pPr>
      <w:r>
        <w:rPr>
          <w:b/>
          <w:bCs/>
        </w:rPr>
        <w:t xml:space="preserve">HTTPS/SSL: </w:t>
      </w:r>
      <w:r>
        <w:t xml:space="preserve">enable the “forward over HTTPS” or “include SSL” option so that both </w:t>
      </w:r>
      <w:r>
        <w:rPr>
          <w:rFonts w:ascii="Consolas" w:cs="Consolas" w:eastAsia="Consolas" w:hAnsi="Consolas"/>
        </w:rPr>
        <w:t xml:space="preserve">http://</w:t>
      </w:r>
      <w:r>
        <w:t xml:space="preserve"> and </w:t>
      </w:r>
      <w:r>
        <w:rPr>
          <w:rFonts w:ascii="Consolas" w:cs="Consolas" w:eastAsia="Consolas" w:hAnsi="Consolas"/>
        </w:rPr>
        <w:t xml:space="preserve">https://</w:t>
      </w:r>
      <w:r>
        <w:t xml:space="preserve"> requests are redirected securely. This is essential — without it, visitors arriving at </w:t>
      </w:r>
      <w:r>
        <w:rPr>
          <w:rFonts w:ascii="Consolas" w:cs="Consolas" w:eastAsia="Consolas" w:hAnsi="Consolas"/>
        </w:rPr>
        <w:t xml:space="preserve">https://yourdomain.com</w:t>
      </w:r>
      <w:r>
        <w:t xml:space="preserve"> may see a security warning.</w:t>
      </w:r>
    </w:p>
    <w:p>
      <w:pPr>
        <w:spacing w:after="120"/>
      </w:pPr>
      <w:r>
        <w:t xml:space="preserve">Do not use “forwarding with masking” — it hides the real URL and is not recommended for SEO.</w:t>
      </w:r>
    </w:p>
    <w:p>
      <w:pPr>
        <w:pStyle w:val="Heading2"/>
      </w:pPr>
      <w:r>
        <w:t xml:space="preserve">Method B — ALIAS / ANAME / CNAME Flattening (Generic, Modern DNS)</w:t>
      </w:r>
    </w:p>
    <w:p>
      <w:pPr>
        <w:spacing w:after="120"/>
      </w:pPr>
      <w:r>
        <w:t xml:space="preserve">If you use a modern DNS provider that supports apex aliasing, you can point the bare domain straight at the platform instead of (or in addition to) a redirect:</w:t>
      </w:r>
    </w:p>
    <w:p>
      <w:pPr>
        <w:pStyle w:val="ListParagraph"/>
        <w:numPr>
          <w:ilvl w:val="0"/>
          <w:numId w:val="4"/>
        </w:numPr>
        <w:spacing w:after="80"/>
      </w:pPr>
      <w:r>
        <w:rPr>
          <w:b/>
          <w:bCs/>
        </w:rPr>
        <w:t xml:space="preserve">Type: </w:t>
      </w:r>
      <w:r>
        <w:rPr>
          <w:rFonts w:ascii="Consolas" w:cs="Consolas" w:eastAsia="Consolas" w:hAnsi="Consolas"/>
        </w:rPr>
        <w:t xml:space="preserve">ALIAS</w:t>
      </w:r>
      <w:r>
        <w:t xml:space="preserve">, </w:t>
      </w:r>
      <w:r>
        <w:rPr>
          <w:rFonts w:ascii="Consolas" w:cs="Consolas" w:eastAsia="Consolas" w:hAnsi="Consolas"/>
        </w:rPr>
        <w:t xml:space="preserve">ANAME</w:t>
      </w:r>
      <w:r>
        <w:t xml:space="preserve">, or a flattened </w:t>
      </w:r>
      <w:r>
        <w:rPr>
          <w:rFonts w:ascii="Consolas" w:cs="Consolas" w:eastAsia="Consolas" w:hAnsi="Consolas"/>
        </w:rPr>
        <w:t xml:space="preserve">CNAME</w:t>
      </w:r>
      <w:r>
        <w:t xml:space="preserve"> (the label varies by provider).</w:t>
      </w:r>
    </w:p>
    <w:p>
      <w:pPr>
        <w:pStyle w:val="ListParagraph"/>
        <w:numPr>
          <w:ilvl w:val="0"/>
          <w:numId w:val="4"/>
        </w:numPr>
        <w:spacing w:after="80"/>
      </w:pPr>
      <w:r>
        <w:rPr>
          <w:b/>
          <w:bCs/>
        </w:rPr>
        <w:t xml:space="preserve">Name / Host: </w:t>
      </w:r>
      <w:r>
        <w:rPr>
          <w:rFonts w:ascii="Consolas" w:cs="Consolas" w:eastAsia="Consolas" w:hAnsi="Consolas"/>
        </w:rPr>
        <w:t xml:space="preserve">@</w:t>
      </w:r>
      <w:r>
        <w:t xml:space="preserve"> (the root).</w:t>
      </w:r>
    </w:p>
    <w:p>
      <w:pPr>
        <w:pStyle w:val="ListParagraph"/>
        <w:numPr>
          <w:ilvl w:val="0"/>
          <w:numId w:val="4"/>
        </w:numPr>
        <w:spacing w:after="80"/>
      </w:pPr>
      <w:r>
        <w:rPr>
          <w:b/>
          <w:bCs/>
        </w:rPr>
        <w:t xml:space="preserve">Value / Target: </w:t>
      </w:r>
      <w:r>
        <w:rPr>
          <w:rFonts w:ascii="Consolas" w:cs="Consolas" w:eastAsia="Consolas" w:hAnsi="Consolas"/>
        </w:rPr>
        <w:t xml:space="preserve">www.ceonesource.com</w:t>
      </w:r>
      <w:r>
        <w:t xml:space="preserve">.</w:t>
      </w:r>
    </w:p>
    <w:p>
      <w:pPr>
        <w:spacing w:after="120"/>
      </w:pPr>
      <w:r>
        <w:t xml:space="preserve">Provider examples: Cloudflare offers automatic “CNAME flattening” at the apex; Amazon Route 53 uses “ALIAS” records; DNSimple and Namecheap offer “ALIAS/ANAME.” If you want the address bar to still consolidate on </w:t>
      </w:r>
      <w:r>
        <w:rPr>
          <w:rFonts w:ascii="Consolas" w:cs="Consolas" w:eastAsia="Consolas" w:hAnsi="Consolas"/>
        </w:rPr>
        <w:t xml:space="preserve">www</w:t>
      </w:r>
      <w:r>
        <w:t xml:space="preserve">, combine this with a redirect rule at your provider or platform.</w:t>
      </w:r>
    </w:p>
    <w:p>
      <w:pPr>
        <w:pStyle w:val="Heading2"/>
      </w:pPr>
      <w:r>
        <w:t xml:space="preserve">GoDaddy-Specific Instructions for the Apex Redirect</w:t>
      </w:r>
    </w:p>
    <w:p>
      <w:pPr>
        <w:spacing w:after="120"/>
      </w:pPr>
      <w:r>
        <w:rPr>
          <w:b/>
          <w:bCs/>
        </w:rPr>
        <w:t xml:space="preserve">GoDaddy does not support ALIAS or ANAME records,</w:t>
      </w:r>
      <w:r>
        <w:t xml:space="preserve"> so Method B is not available there. Use GoDaddy’s built-in </w:t>
      </w:r>
      <w:r>
        <w:rPr>
          <w:b/>
          <w:bCs/>
        </w:rPr>
        <w:t xml:space="preserve">domain forwarding</w:t>
      </w:r>
      <w:r>
        <w:t xml:space="preserve"> (Method A) instead:</w:t>
      </w:r>
    </w:p>
    <w:p>
      <w:pPr>
        <w:pStyle w:val="ListParagraph"/>
        <w:numPr>
          <w:ilvl w:val="0"/>
          <w:numId w:val="5"/>
        </w:numPr>
        <w:spacing w:after="100"/>
      </w:pPr>
      <w:r>
        <w:t xml:space="preserve">Sign in to GoDaddy and open your domain’s </w:t>
      </w:r>
      <w:r>
        <w:rPr>
          <w:b/>
          <w:bCs/>
        </w:rPr>
        <w:t xml:space="preserve">Domain Settings</w:t>
      </w:r>
      <w:r>
        <w:t xml:space="preserve"> page.</w:t>
      </w:r>
    </w:p>
    <w:p>
      <w:pPr>
        <w:pStyle w:val="ListParagraph"/>
        <w:numPr>
          <w:ilvl w:val="0"/>
          <w:numId w:val="5"/>
        </w:numPr>
        <w:spacing w:after="100"/>
      </w:pPr>
      <w:r>
        <w:t xml:space="preserve">Find the </w:t>
      </w:r>
      <w:r>
        <w:rPr>
          <w:b/>
          <w:bCs/>
        </w:rPr>
        <w:t xml:space="preserve">Forwarding</w:t>
      </w:r>
      <w:r>
        <w:t xml:space="preserve"> section and select </w:t>
      </w:r>
      <w:r>
        <w:rPr>
          <w:b/>
          <w:bCs/>
        </w:rPr>
        <w:t xml:space="preserve">Add Forwarding</w:t>
      </w:r>
      <w:r>
        <w:t xml:space="preserve"> (under the Domain area).</w:t>
      </w:r>
    </w:p>
    <w:p>
      <w:pPr>
        <w:pStyle w:val="ListParagraph"/>
        <w:numPr>
          <w:ilvl w:val="0"/>
          <w:numId w:val="5"/>
        </w:numPr>
        <w:spacing w:after="100"/>
      </w:pPr>
      <w:r>
        <w:t xml:space="preserve">Set the destination to </w:t>
      </w:r>
      <w:r>
        <w:rPr>
          <w:rFonts w:ascii="Consolas" w:cs="Consolas" w:eastAsia="Consolas" w:hAnsi="Consolas"/>
        </w:rPr>
        <w:t xml:space="preserve">https://www.yourdomain.com</w:t>
      </w:r>
      <w:r>
        <w:t xml:space="preserve">.</w:t>
      </w:r>
    </w:p>
    <w:p>
      <w:pPr>
        <w:pStyle w:val="ListParagraph"/>
        <w:numPr>
          <w:ilvl w:val="0"/>
          <w:numId w:val="5"/>
        </w:numPr>
        <w:spacing w:after="100"/>
      </w:pPr>
      <w:r>
        <w:t xml:space="preserve">Choose forward type </w:t>
      </w:r>
      <w:r>
        <w:rPr>
          <w:b/>
          <w:bCs/>
        </w:rPr>
        <w:t xml:space="preserve">Permanent (301)</w:t>
      </w:r>
      <w:r>
        <w:t xml:space="preserve">.</w:t>
      </w:r>
    </w:p>
    <w:p>
      <w:pPr>
        <w:pStyle w:val="ListParagraph"/>
        <w:numPr>
          <w:ilvl w:val="0"/>
          <w:numId w:val="5"/>
        </w:numPr>
        <w:spacing w:after="100"/>
      </w:pPr>
      <w:r>
        <w:t xml:space="preserve">Enable the </w:t>
      </w:r>
      <w:r>
        <w:rPr>
          <w:b/>
          <w:bCs/>
        </w:rPr>
        <w:t xml:space="preserve">HTTPS / SSL</w:t>
      </w:r>
      <w:r>
        <w:t xml:space="preserve"> option if shown, so secure requests are also forwarded.</w:t>
      </w:r>
    </w:p>
    <w:p>
      <w:pPr>
        <w:pStyle w:val="ListParagraph"/>
        <w:numPr>
          <w:ilvl w:val="0"/>
          <w:numId w:val="5"/>
        </w:numPr>
        <w:spacing w:after="100"/>
      </w:pPr>
      <w:r>
        <w:t xml:space="preserve">Select </w:t>
      </w:r>
      <w:r>
        <w:rPr>
          <w:b/>
          <w:bCs/>
        </w:rPr>
        <w:t xml:space="preserve">Save</w:t>
      </w:r>
      <w:r>
        <w:t xml:space="preserve">.</w:t>
      </w:r>
    </w:p>
    <w:p>
      <w:pPr>
        <w:spacing w:after="60" w:before="120"/>
        <w:jc w:val="center"/>
      </w:pPr>
      <w:r>
        <w:drawing>
          <wp:inline distT="0" distB="0" distL="0" distR="0">
            <wp:extent cx="5715000" cy="221932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 cstate="none"/>
                    <a:srcRect/>
                    <a:stretch>
                      <a:fillRect/>
                    </a:stretch>
                  </pic:blipFill>
                  <pic:spPr bwMode="auto">
                    <a:xfrm>
                      <a:off x="0" y="0"/>
                      <a:ext cx="5715000" cy="2219325"/>
                    </a:xfrm>
                    <a:prstGeom prst="rect">
                      <a:avLst/>
                    </a:prstGeom>
                  </pic:spPr>
                </pic:pic>
              </a:graphicData>
            </a:graphic>
          </wp:inline>
        </w:drawing>
      </w:r>
    </w:p>
    <w:p>
      <w:pPr>
        <w:spacing w:after="160"/>
        <w:jc w:val="center"/>
      </w:pPr>
      <w:r>
        <w:rPr>
          <w:i/>
          <w:iCs/>
          <w:color w:val="808080"/>
          <w:sz w:val="17"/>
          <w:szCs w:val="17"/>
        </w:rPr>
        <w:t xml:space="preserve">Illustrative example: GoDaddy domain forwarding set to redirect the apex to https://www. Your screen may differ.</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2E75B6" w:sz="18"/>
              <w:bottom w:val="single" w:color="CCCCCC" w:sz="1"/>
              <w:right w:val="single" w:color="CCCCCC" w:sz="1"/>
            </w:tcBorders>
            <w:shd w:fill="EAF1FA" w:val="clear"/>
            <w:tcMar>
              <w:top w:type="dxa" w:w="100"/>
              <w:left w:type="dxa" w:w="160"/>
              <w:bottom w:type="dxa" w:w="100"/>
              <w:right w:type="dxa" w:w="160"/>
            </w:tcMar>
          </w:tcPr>
          <w:p>
            <w:r>
              <w:rPr>
                <w:b/>
                <w:bCs/>
                <w:color w:val="2E75B6"/>
              </w:rPr>
              <w:t xml:space="preserve">Heads-up on GoDaddy + HTTPS:  </w:t>
            </w:r>
            <w:r>
              <w:t xml:space="preserve">GoDaddy’s built-in forwarding has historically had </w:t>
            </w:r>
            <w:r>
              <w:rPr>
                <w:b/>
                <w:bCs/>
              </w:rPr>
              <w:t xml:space="preserve">limited HTTPS support</w:t>
            </w:r>
            <w:r>
              <w:t xml:space="preserve"> for the secure version of the bare domain. If </w:t>
            </w:r>
            <w:r>
              <w:rPr>
                <w:rFonts w:ascii="Consolas" w:cs="Consolas" w:eastAsia="Consolas" w:hAnsi="Consolas"/>
              </w:rPr>
              <w:t xml:space="preserve">https://yourdomain.com</w:t>
            </w:r>
            <w:r>
              <w:t xml:space="preserve"> does not redirect cleanly after forwarding is set, the reliable fix is to manage the domain’s DNS through a provider with proper HTTPS apex redirects or CNAME flattening (Cloudflare’s free tier is commonly used for this), then point a </w:t>
            </w:r>
            <w:r>
              <w:rPr>
                <w:rFonts w:ascii="Consolas" w:cs="Consolas" w:eastAsia="Consolas" w:hAnsi="Consolas"/>
              </w:rPr>
              <w:t xml:space="preserve">301</w:t>
            </w:r>
            <w:r>
              <w:t xml:space="preserve"> redirect rule from the apex to </w:t>
            </w:r>
            <w:r>
              <w:rPr>
                <w:rFonts w:ascii="Consolas" w:cs="Consolas" w:eastAsia="Consolas" w:hAnsi="Consolas"/>
              </w:rPr>
              <w:t xml:space="preserve">www</w:t>
            </w:r>
            <w:r>
              <w:t xml:space="preserve">. Your CE OneSource representative can advise on this.</w:t>
            </w:r>
          </w:p>
        </w:tc>
      </w:tr>
    </w:tbl>
    <w:p>
      <w:pPr>
        <w:pStyle w:val="Heading2"/>
      </w:pPr>
      <w:r>
        <w:t xml:space="preserve">Verifying the Redirect</w:t>
      </w:r>
    </w:p>
    <w:p>
      <w:pPr>
        <w:pStyle w:val="ListParagraph"/>
        <w:numPr>
          <w:ilvl w:val="0"/>
          <w:numId w:val="4"/>
        </w:numPr>
        <w:spacing w:after="80"/>
      </w:pPr>
      <w:r>
        <w:t xml:space="preserve">After 15–30 minutes, type </w:t>
      </w:r>
      <w:r>
        <w:rPr>
          <w:rFonts w:ascii="Consolas" w:cs="Consolas" w:eastAsia="Consolas" w:hAnsi="Consolas"/>
        </w:rPr>
        <w:t xml:space="preserve">yourdomain.com</w:t>
      </w:r>
      <w:r>
        <w:t xml:space="preserve"> (no </w:t>
      </w:r>
      <w:r>
        <w:rPr>
          <w:rFonts w:ascii="Consolas" w:cs="Consolas" w:eastAsia="Consolas" w:hAnsi="Consolas"/>
        </w:rPr>
        <w:t xml:space="preserve">www</w:t>
      </w:r>
      <w:r>
        <w:t xml:space="preserve">) in a browser and confirm it lands on </w:t>
      </w:r>
      <w:r>
        <w:rPr>
          <w:rFonts w:ascii="Consolas" w:cs="Consolas" w:eastAsia="Consolas" w:hAnsi="Consolas"/>
        </w:rPr>
        <w:t xml:space="preserve">www.yourdomain.com</w:t>
      </w:r>
      <w:r>
        <w:t xml:space="preserve">.</w:t>
      </w:r>
    </w:p>
    <w:p>
      <w:pPr>
        <w:pStyle w:val="ListParagraph"/>
        <w:numPr>
          <w:ilvl w:val="0"/>
          <w:numId w:val="4"/>
        </w:numPr>
        <w:spacing w:after="80"/>
      </w:pPr>
      <w:r>
        <w:t xml:space="preserve">Repeat with </w:t>
      </w:r>
      <w:r>
        <w:rPr>
          <w:rFonts w:ascii="Consolas" w:cs="Consolas" w:eastAsia="Consolas" w:hAnsi="Consolas"/>
        </w:rPr>
        <w:t xml:space="preserve">https://yourdomain.com</w:t>
      </w:r>
      <w:r>
        <w:t xml:space="preserve"> to confirm the secure version also redirects without a warning.</w:t>
      </w:r>
    </w:p>
    <w:p>
      <w:pPr>
        <w:pStyle w:val="Heading1"/>
      </w:pPr>
      <w:r>
        <w:t xml:space="preserve">Need Help?</w:t>
      </w:r>
    </w:p>
    <w:p>
      <w:pPr>
        <w:spacing w:after="120"/>
      </w:pPr>
      <w:r>
        <w:t xml:space="preserve">If you are unsure where to make these changes, or your provider’s screens look different from these examples, contact your CE OneSource representative. Please have your domain name and your DNS provider login details ready before reaching out.</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6" w:space="4"/>
      </w:pBdr>
      <w:jc w:val="center"/>
    </w:pPr>
    <w:r>
      <w:rPr>
        <w:color w:val="808080"/>
        <w:sz w:val="18"/>
        <w:szCs w:val="18"/>
      </w:rPr>
      <w:t xml:space="preserve">Page </w:t>
    </w:r>
    <w:r>
      <w:rPr>
        <w:color w:val="808080"/>
        <w:sz w:val="18"/>
        <w:szCs w:val="18"/>
      </w:rPr>
      <w:fldChar w:fldCharType="begin"/>
      <w:instrText xml:space="preserve">PAGE</w:instrText>
      <w:fldChar w:fldCharType="separate"/>
      <w:fldChar w:fldCharType="end"/>
    </w:r>
    <w:r>
      <w:rPr>
        <w:color w:val="808080"/>
        <w:sz w:val="18"/>
        <w:szCs w:val="18"/>
      </w:rPr>
      <w:t xml:space="preserve"> of </w:t>
    </w:r>
    <w:r>
      <w:rPr>
        <w:color w:val="808080"/>
        <w:sz w:val="18"/>
        <w:szCs w:val="18"/>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2E75B6" w:sz="6" w:space="4"/>
      </w:pBdr>
    </w:pPr>
    <w:r>
      <w:rPr>
        <w:b/>
        <w:bCs/>
        <w:color w:val="2E75B6"/>
        <w:sz w:val="20"/>
        <w:szCs w:val="20"/>
      </w:rPr>
      <w:t xml:space="preserve">CE OneSource</w:t>
    </w:r>
    <w:r>
      <w:rPr>
        <w:color w:val="404040"/>
        <w:sz w:val="20"/>
        <w:szCs w:val="20"/>
      </w:rPr>
      <w:t xml:space="preserve">   |   DNS Configuration Instructions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decimal"/>
      <w:lvlText w:val="%1."/>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decimal"/>
      <w:lvlText w:val="%1."/>
      <w:lvlJc w:val="left"/>
      <w:pPr>
        <w:ind w:left="720" w:hanging="360"/>
      </w:pPr>
    </w:lvl>
  </w:abstractNum>
  <w:abstractNum w:abstractNumId="5"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 w:numId="4">
    <w:abstractNumId w:val="5"/>
    <w:lvlOverride w:ilvl="0">
      <w:startOverride w:val="1"/>
    </w:lvlOverride>
  </w:num>
  <w:num w:numId="5">
    <w:abstractNumId w:val="4"/>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280"/>
      <w:outlineLvl w:val="0"/>
    </w:pPr>
    <w:rPr>
      <w:rFonts w:ascii="Arial" w:cs="Arial" w:eastAsia="Arial" w:hAnsi="Arial"/>
      <w:b/>
      <w:bCs/>
      <w:color w:val="2E75B6"/>
      <w:sz w:val="30"/>
      <w:szCs w:val="30"/>
    </w:rPr>
  </w:style>
  <w:style w:type="paragraph" w:styleId="Heading2">
    <w:name w:val="Heading 2"/>
    <w:basedOn w:val="Normal"/>
    <w:next w:val="Normal"/>
    <w:qFormat/>
    <w:pPr>
      <w:spacing w:after="120" w:before="220"/>
      <w:outlineLvl w:val="1"/>
    </w:pPr>
    <w:rPr>
      <w:rFonts w:ascii="Arial" w:cs="Arial" w:eastAsia="Arial" w:hAnsi="Arial"/>
      <w:b/>
      <w:bCs/>
      <w:color w:val="404040"/>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98559cf4cc7de39ecd8781ad0055e4da83409e73.png"/><Relationship Id="rId10" Type="http://schemas.openxmlformats.org/officeDocument/2006/relationships/image" Target="media/3c1eeee24debb6aadbb96f0ea2f06dd694394c68.png"/><Relationship Id="rId11" Type="http://schemas.openxmlformats.org/officeDocument/2006/relationships/image" Target="media/338c9b310d4ada43d97e3005d733f75fb88b15f7.png"/><Relationship Id="rId12"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2026-06-28T22:35:37.437Z</dcterms:created>
  <dcterms:modified xsi:type="dcterms:W3CDTF">2026-06-28T22:35:37.448Z</dcterms:modified>
</cp:coreProperties>
</file>

<file path=docProps/custom.xml><?xml version="1.0" encoding="utf-8"?>
<Properties xmlns="http://schemas.openxmlformats.org/officeDocument/2006/custom-properties" xmlns:vt="http://schemas.openxmlformats.org/officeDocument/2006/docPropsVTypes"/>
</file>